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A76" w:rsidRPr="00450A76" w:rsidRDefault="00450A76" w:rsidP="00450A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БУХГЕЛТЕРСКИЙ УЧЕТ</w:t>
      </w:r>
    </w:p>
    <w:p w:rsidR="00450A76" w:rsidRPr="00450A76" w:rsidRDefault="00450A76" w:rsidP="00450A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0A76" w:rsidRPr="00450A76" w:rsidRDefault="00450A76" w:rsidP="00450A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45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 изучения дисциплины</w:t>
      </w:r>
    </w:p>
    <w:p w:rsidR="00450A76" w:rsidRPr="00450A76" w:rsidRDefault="00450A76" w:rsidP="00450A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0A76" w:rsidRPr="00450A76" w:rsidRDefault="00450A76" w:rsidP="00450A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0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</w:t>
      </w:r>
    </w:p>
    <w:p w:rsidR="00112D1B" w:rsidRPr="00793054" w:rsidRDefault="00112D1B" w:rsidP="0079305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F10C07" w:rsidRPr="00793054" w:rsidRDefault="00F10C07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4 типа изменений статей баланса</w:t>
      </w:r>
    </w:p>
    <w:p w:rsidR="00F10C07" w:rsidRPr="00793054" w:rsidRDefault="00F10C07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Синтетические и аналитические счета</w:t>
      </w:r>
    </w:p>
    <w:p w:rsidR="00F10C07" w:rsidRPr="00793054" w:rsidRDefault="00F10C07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 xml:space="preserve">Понятие, классификация и оценка основных средств </w:t>
      </w:r>
    </w:p>
    <w:p w:rsidR="00F10C07" w:rsidRPr="00793054" w:rsidRDefault="00F10C07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Синтетический учет поступления и выбытия основных средств</w:t>
      </w:r>
    </w:p>
    <w:p w:rsidR="00F10C07" w:rsidRPr="00793054" w:rsidRDefault="00F10C07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 xml:space="preserve">Понятие, классификация и оценка нематериальных активов </w:t>
      </w:r>
    </w:p>
    <w:p w:rsidR="00F10C07" w:rsidRPr="00793054" w:rsidRDefault="00F10C07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Синтетический учет поступления и создания нематериальных активов</w:t>
      </w:r>
      <w:r w:rsidRPr="007930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0C07" w:rsidRPr="00793054" w:rsidRDefault="00F10C07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 xml:space="preserve">Учет выбытия нематериальных активов 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Учет амортизации нематериальных активов</w:t>
      </w:r>
      <w:r w:rsidRPr="007930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0C07" w:rsidRPr="00793054" w:rsidRDefault="00F10C07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Понятие, классификация и оценка материально-производственных запасов</w:t>
      </w:r>
    </w:p>
    <w:p w:rsidR="00F10C07" w:rsidRPr="00793054" w:rsidRDefault="00F10C07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Документальное оформление движения материалов</w:t>
      </w:r>
    </w:p>
    <w:p w:rsidR="00F10C07" w:rsidRPr="00793054" w:rsidRDefault="00F10C07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Синтетический учет приобретения и заготовления материалов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 xml:space="preserve">Синтетический учет выбытия материалов 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 xml:space="preserve">Готовая продукция и ее оценка 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 xml:space="preserve">Синтетический учет готовой продукции </w:t>
      </w:r>
    </w:p>
    <w:p w:rsidR="00F10C07" w:rsidRPr="00793054" w:rsidRDefault="00F10C07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 xml:space="preserve">Учет продажи готовой продукции </w:t>
      </w:r>
    </w:p>
    <w:p w:rsidR="00F10C07" w:rsidRPr="00793054" w:rsidRDefault="00F10C07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Схема корреспонденции счетов по учету готовой продукции с применением счета 40 «Выпуск продукции (работ, услуг)»</w:t>
      </w:r>
    </w:p>
    <w:p w:rsidR="00F10C07" w:rsidRPr="00793054" w:rsidRDefault="00F10C07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Порядок отражения в учете продаж готовой продукции</w:t>
      </w:r>
    </w:p>
    <w:p w:rsidR="00F10C07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 xml:space="preserve">Доходные вложения в материальные ценности  </w:t>
      </w:r>
    </w:p>
    <w:p w:rsidR="00450A76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Учет операций по расчетному счету и специальным счетам в банках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Учет операций по валютным счетам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Понятие, классификация и признание расходов организации в бухгалтерском учете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Учет доходов. Классификация доходов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Учет расходов. Классификация расходов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Учет отдельных видов затрат на базе 20-х счетов в соответствии с РСБУ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 xml:space="preserve">Учет расчетов с подотчетными лицами </w:t>
      </w:r>
    </w:p>
    <w:p w:rsidR="00450A76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Учет расчетов с бюджетом по налогам и сборам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 xml:space="preserve">Учет расчетов по кредитам и займам 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Учет расчетов с разными дебиторами и кредиторами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Учет расчетов с персоналом по прочим операциям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 xml:space="preserve">Учет расчетов с поставщиками и подрядчиками 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 xml:space="preserve">Общие положения по учету труда 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 xml:space="preserve">Начисление заработной платы 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 xml:space="preserve">Удержания из заработной платы 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Учет уставного (складочного) капитала (фонда)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 xml:space="preserve">Учет резервного капитала 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Учет добавочного капитала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Учет собственных акций (долей), выкупленных обществом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Учет резервов по сомнительным долгам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Учет целевого финансирования</w:t>
      </w:r>
    </w:p>
    <w:p w:rsidR="00450A76" w:rsidRPr="00793054" w:rsidRDefault="00450A76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lastRenderedPageBreak/>
        <w:t>Типовая корреспонденция счетов по учету расчетов с поставщиками и подрядчиками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Типовая корреспонденция счетов по отражению общецеховых расходов на управление</w:t>
      </w:r>
    </w:p>
    <w:p w:rsidR="00450A76" w:rsidRPr="00793054" w:rsidRDefault="00450A76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Типовая корреспонденция счетов по учету расчетов с подотчетными лицами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Корреспонденция счетов по учету материалов по фактической себестоимости приобретения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Основная корреспонденция счетов по учету операций валютного счета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Схема корреспонденции счетов по операциям выбытия нематериальных активов</w:t>
      </w:r>
    </w:p>
    <w:p w:rsidR="00450A76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Корреспонденция счетов по учету кассовых операций</w:t>
      </w:r>
    </w:p>
    <w:p w:rsidR="00450A76" w:rsidRPr="00793054" w:rsidRDefault="00450A76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Учет расчетов с покупателями и заказчиками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Корреспонденция счетов по учету операций расчетного счета</w:t>
      </w:r>
    </w:p>
    <w:p w:rsidR="00450A76" w:rsidRPr="00793054" w:rsidRDefault="00450A76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Корреспонденция счетов по учету расчетов по оплате труда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Корреспонденция счетов по учету начислени</w:t>
      </w:r>
      <w:r w:rsidRPr="00793054">
        <w:rPr>
          <w:rFonts w:ascii="Times New Roman" w:hAnsi="Times New Roman" w:cs="Times New Roman"/>
          <w:sz w:val="24"/>
          <w:szCs w:val="24"/>
        </w:rPr>
        <w:t xml:space="preserve">я и </w:t>
      </w:r>
      <w:r w:rsidRPr="00793054">
        <w:rPr>
          <w:rFonts w:ascii="Times New Roman" w:hAnsi="Times New Roman" w:cs="Times New Roman"/>
          <w:sz w:val="24"/>
          <w:szCs w:val="24"/>
        </w:rPr>
        <w:t>перечисления НДФЛ в бюджет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Схема корреспонденции счетов по операциям расчетов с бюджетом</w:t>
      </w:r>
    </w:p>
    <w:p w:rsidR="00793054" w:rsidRPr="00793054" w:rsidRDefault="00793054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Схема формирования финансовых результатов от продажи товаров, продукции, работ, услуг</w:t>
      </w:r>
    </w:p>
    <w:p w:rsidR="00450A76" w:rsidRPr="00793054" w:rsidRDefault="00450A76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Понятие, состав бухгалтерской отчетности</w:t>
      </w:r>
    </w:p>
    <w:p w:rsidR="00450A76" w:rsidRPr="00793054" w:rsidRDefault="00450A76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Адреса и сроки представления бухгалтерской отчетности</w:t>
      </w:r>
    </w:p>
    <w:p w:rsidR="00450A76" w:rsidRPr="00793054" w:rsidRDefault="00450A76" w:rsidP="00793054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93054">
        <w:rPr>
          <w:rFonts w:ascii="Times New Roman" w:hAnsi="Times New Roman" w:cs="Times New Roman"/>
          <w:sz w:val="24"/>
          <w:szCs w:val="24"/>
        </w:rPr>
        <w:t>Основные эт</w:t>
      </w:r>
      <w:bookmarkStart w:id="0" w:name="_GoBack"/>
      <w:bookmarkEnd w:id="0"/>
      <w:r w:rsidRPr="00793054">
        <w:rPr>
          <w:rFonts w:ascii="Times New Roman" w:hAnsi="Times New Roman" w:cs="Times New Roman"/>
          <w:sz w:val="24"/>
          <w:szCs w:val="24"/>
        </w:rPr>
        <w:t xml:space="preserve">апы процедуры составления бухгалтерской отчетности </w:t>
      </w:r>
    </w:p>
    <w:sectPr w:rsidR="00450A76" w:rsidRPr="00793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D08F3"/>
    <w:multiLevelType w:val="hybridMultilevel"/>
    <w:tmpl w:val="F2EE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A76"/>
    <w:rsid w:val="00112D1B"/>
    <w:rsid w:val="00450A76"/>
    <w:rsid w:val="00793054"/>
    <w:rsid w:val="00F1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560BF"/>
  <w15:chartTrackingRefBased/>
  <w15:docId w15:val="{3DE28731-C15F-4655-8E69-242934A1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0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Мезенцев</dc:creator>
  <cp:keywords/>
  <dc:description/>
  <cp:lastModifiedBy>Сергей Мезенцев</cp:lastModifiedBy>
  <cp:revision>2</cp:revision>
  <dcterms:created xsi:type="dcterms:W3CDTF">2019-12-31T06:48:00Z</dcterms:created>
  <dcterms:modified xsi:type="dcterms:W3CDTF">2019-12-31T06:48:00Z</dcterms:modified>
</cp:coreProperties>
</file>